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2D71F1" w:rsidP="004D6C07">
      <w:pPr>
        <w:pStyle w:val="BT"/>
        <w:jc w:val="left"/>
        <w:rPr>
          <w:rFonts w:ascii="Times New Roman" w:hAnsi="Times New Roman"/>
          <w:b/>
          <w:szCs w:val="24"/>
        </w:rPr>
      </w:pPr>
      <w:r>
        <w:rPr>
          <w:rFonts w:ascii="Times New Roman" w:hAnsi="Times New Roman"/>
          <w:b/>
          <w:szCs w:val="24"/>
        </w:rPr>
        <w:t>Solution 1.32</w:t>
      </w:r>
    </w:p>
    <w:p w:rsidR="002D71F1" w:rsidRPr="002D71F1" w:rsidRDefault="002D71F1" w:rsidP="002D71F1">
      <w:pPr>
        <w:keepNext/>
        <w:spacing w:before="240" w:after="0" w:line="280" w:lineRule="exact"/>
        <w:jc w:val="both"/>
        <w:rPr>
          <w:rFonts w:ascii="Times" w:eastAsia="Times New Roman" w:hAnsi="Times"/>
          <w:sz w:val="24"/>
          <w:szCs w:val="20"/>
        </w:rPr>
      </w:pPr>
      <w:r w:rsidRPr="002D71F1">
        <w:rPr>
          <w:rFonts w:ascii="Times" w:eastAsia="Times New Roman" w:hAnsi="Times"/>
          <w:sz w:val="24"/>
          <w:szCs w:val="20"/>
        </w:rPr>
        <w:t>Find a handbook. The volume of a prolate spheroid is, for our data,</w:t>
      </w:r>
    </w:p>
    <w:p w:rsidR="002D71F1" w:rsidRPr="002D71F1" w:rsidRDefault="002D71F1" w:rsidP="002D71F1">
      <w:pPr>
        <w:tabs>
          <w:tab w:val="center" w:pos="4320"/>
          <w:tab w:val="right" w:pos="8640"/>
        </w:tabs>
        <w:spacing w:before="400" w:after="440" w:line="280" w:lineRule="exact"/>
        <w:jc w:val="center"/>
        <w:rPr>
          <w:rFonts w:ascii="Times" w:eastAsia="Times New Roman" w:hAnsi="Times"/>
          <w:i/>
          <w:sz w:val="24"/>
          <w:szCs w:val="20"/>
        </w:rPr>
      </w:pPr>
      <w:r>
        <w:rPr>
          <w:rFonts w:ascii="Times" w:eastAsia="Times New Roman" w:hAnsi="Times"/>
          <w:i/>
          <w:position w:val="-24"/>
          <w:sz w:val="24"/>
          <w:szCs w:val="20"/>
        </w:rPr>
        <w:object w:dxaOrig="4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134" type="#_x0000_t75" style="width:218.25pt;height:30.75pt" o:ole="">
            <v:imagedata r:id="rId9" o:title=""/>
          </v:shape>
          <o:OLEObject Type="Embed" ProgID="Equation.DSMT4" ShapeID="_x0000_i6134" DrawAspect="Content" ObjectID="_1493018112" r:id="rId10"/>
        </w:object>
      </w:r>
    </w:p>
    <w:p w:rsidR="002D71F1" w:rsidRPr="002D71F1" w:rsidRDefault="002D71F1" w:rsidP="002D71F1">
      <w:pPr>
        <w:spacing w:after="0" w:line="280" w:lineRule="exact"/>
        <w:jc w:val="both"/>
        <w:rPr>
          <w:rFonts w:ascii="Times" w:eastAsia="Times New Roman" w:hAnsi="Times"/>
          <w:sz w:val="24"/>
          <w:szCs w:val="20"/>
        </w:rPr>
      </w:pPr>
      <w:r w:rsidRPr="002D71F1">
        <w:rPr>
          <w:rFonts w:ascii="Times" w:eastAsia="Times New Roman" w:hAnsi="Times"/>
          <w:sz w:val="24"/>
          <w:szCs w:val="20"/>
        </w:rPr>
        <w:t>Estimate, from the ideal-gas law, the respective densities of helium and air:</w:t>
      </w:r>
    </w:p>
    <w:p w:rsidR="002D71F1" w:rsidRPr="002D71F1" w:rsidRDefault="002D71F1" w:rsidP="002D71F1">
      <w:pPr>
        <w:tabs>
          <w:tab w:val="center" w:pos="4320"/>
          <w:tab w:val="right" w:pos="8640"/>
        </w:tabs>
        <w:spacing w:before="400" w:after="240" w:line="280" w:lineRule="exact"/>
        <w:jc w:val="center"/>
        <w:rPr>
          <w:rFonts w:ascii="Times" w:eastAsia="Times New Roman" w:hAnsi="Times"/>
          <w:i/>
          <w:sz w:val="24"/>
          <w:szCs w:val="20"/>
        </w:rPr>
      </w:pPr>
      <w:r>
        <w:rPr>
          <w:rFonts w:ascii="Times" w:eastAsia="Times New Roman" w:hAnsi="Times"/>
          <w:i/>
          <w:position w:val="-30"/>
          <w:sz w:val="24"/>
          <w:szCs w:val="20"/>
        </w:rPr>
        <w:object w:dxaOrig="4880" w:dyaOrig="680">
          <v:shape id="_x0000_i6137" type="#_x0000_t75" style="width:243.75pt;height:33.75pt" o:ole="">
            <v:imagedata r:id="rId11" o:title=""/>
          </v:shape>
          <o:OLEObject Type="Embed" ProgID="Equation.DSMT4" ShapeID="_x0000_i6137" DrawAspect="Content" ObjectID="_1493018113" r:id="rId12"/>
        </w:object>
      </w:r>
    </w:p>
    <w:p w:rsidR="002D71F1" w:rsidRPr="002D71F1" w:rsidRDefault="002D71F1" w:rsidP="002D71F1">
      <w:pPr>
        <w:tabs>
          <w:tab w:val="center" w:pos="4212"/>
          <w:tab w:val="right" w:pos="8640"/>
        </w:tabs>
        <w:spacing w:before="220" w:after="440" w:line="280" w:lineRule="exact"/>
        <w:ind w:left="1872"/>
        <w:rPr>
          <w:rFonts w:ascii="Times" w:eastAsia="Times New Roman" w:hAnsi="Times"/>
          <w:sz w:val="24"/>
          <w:szCs w:val="20"/>
        </w:rPr>
      </w:pPr>
      <w:r>
        <w:rPr>
          <w:rFonts w:ascii="Times" w:eastAsia="Times New Roman" w:hAnsi="Times"/>
          <w:position w:val="-30"/>
          <w:sz w:val="24"/>
          <w:szCs w:val="20"/>
        </w:rPr>
        <w:object w:dxaOrig="4120" w:dyaOrig="680">
          <v:shape id="_x0000_i6140" type="#_x0000_t75" style="width:206.25pt;height:33.75pt" o:ole="">
            <v:imagedata r:id="rId13" o:title=""/>
          </v:shape>
          <o:OLEObject Type="Embed" ProgID="Equation.DSMT4" ShapeID="_x0000_i6140" DrawAspect="Content" ObjectID="_1493018114" r:id="rId14"/>
        </w:object>
      </w:r>
    </w:p>
    <w:p w:rsidR="002D71F1" w:rsidRPr="002D71F1" w:rsidRDefault="002D71F1" w:rsidP="002D71F1">
      <w:pPr>
        <w:spacing w:after="0" w:line="280" w:lineRule="exact"/>
        <w:jc w:val="both"/>
        <w:rPr>
          <w:rFonts w:ascii="Times" w:eastAsia="Times New Roman" w:hAnsi="Times"/>
          <w:sz w:val="24"/>
          <w:szCs w:val="20"/>
        </w:rPr>
      </w:pPr>
      <w:r w:rsidRPr="002D71F1">
        <w:rPr>
          <w:rFonts w:ascii="Times" w:eastAsia="Times New Roman" w:hAnsi="Times"/>
          <w:sz w:val="24"/>
          <w:szCs w:val="20"/>
        </w:rPr>
        <w:t>Then the respective gas weights are</w:t>
      </w:r>
    </w:p>
    <w:p w:rsidR="002D71F1" w:rsidRPr="002D71F1" w:rsidRDefault="002D71F1" w:rsidP="002D71F1">
      <w:pPr>
        <w:tabs>
          <w:tab w:val="center" w:pos="4320"/>
          <w:tab w:val="right" w:pos="8640"/>
        </w:tabs>
        <w:spacing w:before="400" w:after="260" w:line="280" w:lineRule="exact"/>
        <w:jc w:val="center"/>
        <w:rPr>
          <w:rFonts w:ascii="Times" w:eastAsia="Times New Roman" w:hAnsi="Times"/>
          <w:i/>
          <w:sz w:val="24"/>
          <w:szCs w:val="20"/>
        </w:rPr>
      </w:pPr>
      <w:r>
        <w:rPr>
          <w:rFonts w:ascii="Times" w:eastAsia="Times New Roman" w:hAnsi="Times"/>
          <w:i/>
          <w:position w:val="-28"/>
          <w:sz w:val="24"/>
          <w:szCs w:val="20"/>
        </w:rPr>
        <w:object w:dxaOrig="7100" w:dyaOrig="680">
          <v:shape id="_x0000_i6143" type="#_x0000_t75" style="width:354.75pt;height:33.75pt" o:ole="">
            <v:imagedata r:id="rId15" o:title=""/>
          </v:shape>
          <o:OLEObject Type="Embed" ProgID="Equation.DSMT4" ShapeID="_x0000_i6143" DrawAspect="Content" ObjectID="_1493018115" r:id="rId16"/>
        </w:object>
      </w:r>
    </w:p>
    <w:p w:rsidR="002D71F1" w:rsidRPr="002D71F1" w:rsidRDefault="002D71F1" w:rsidP="002D71F1">
      <w:pPr>
        <w:tabs>
          <w:tab w:val="center" w:pos="4320"/>
          <w:tab w:val="right" w:pos="8640"/>
        </w:tabs>
        <w:spacing w:before="100" w:after="240" w:line="280" w:lineRule="exact"/>
        <w:ind w:left="732"/>
        <w:rPr>
          <w:rFonts w:ascii="Times" w:eastAsia="Times New Roman" w:hAnsi="Times"/>
          <w:i/>
          <w:sz w:val="24"/>
          <w:szCs w:val="20"/>
        </w:rPr>
      </w:pPr>
      <w:r>
        <w:rPr>
          <w:rFonts w:ascii="Times" w:eastAsia="Times New Roman" w:hAnsi="Times"/>
          <w:i/>
          <w:position w:val="-12"/>
          <w:sz w:val="24"/>
          <w:szCs w:val="20"/>
        </w:rPr>
        <w:object w:dxaOrig="5780" w:dyaOrig="360">
          <v:shape id="_x0000_i6146" type="#_x0000_t75" style="width:288.75pt;height:18pt" o:ole="">
            <v:imagedata r:id="rId17" o:title=""/>
          </v:shape>
          <o:OLEObject Type="Embed" ProgID="Equation.DSMT4" ShapeID="_x0000_i6146" DrawAspect="Content" ObjectID="_1493018116" r:id="rId18"/>
        </w:object>
      </w:r>
    </w:p>
    <w:p w:rsidR="002D71F1" w:rsidRPr="002D71F1" w:rsidRDefault="002D71F1" w:rsidP="002D71F1">
      <w:pPr>
        <w:spacing w:after="0" w:line="320" w:lineRule="exact"/>
        <w:rPr>
          <w:rFonts w:ascii="Times" w:eastAsia="Times New Roman" w:hAnsi="Times"/>
          <w:sz w:val="24"/>
          <w:szCs w:val="20"/>
        </w:rPr>
      </w:pPr>
      <w:r w:rsidRPr="002D71F1">
        <w:rPr>
          <w:rFonts w:ascii="Times" w:eastAsia="Times New Roman" w:hAnsi="Times"/>
          <w:sz w:val="24"/>
          <w:szCs w:val="20"/>
        </w:rPr>
        <w:t xml:space="preserve">The difference between these two, </w:t>
      </w:r>
      <w:r w:rsidRPr="002D71F1">
        <w:rPr>
          <w:rFonts w:ascii="Times" w:eastAsia="Times New Roman" w:hAnsi="Times"/>
          <w:b/>
          <w:sz w:val="24"/>
          <w:szCs w:val="20"/>
        </w:rPr>
        <w:t>425000 N</w:t>
      </w:r>
      <w:r w:rsidRPr="002D71F1">
        <w:rPr>
          <w:rFonts w:ascii="Times" w:eastAsia="Times New Roman" w:hAnsi="Times"/>
          <w:sz w:val="24"/>
          <w:szCs w:val="20"/>
        </w:rPr>
        <w:t xml:space="preserve">, is the </w:t>
      </w:r>
      <w:r w:rsidRPr="002D71F1">
        <w:rPr>
          <w:rFonts w:ascii="Times" w:eastAsia="Times New Roman" w:hAnsi="Times"/>
          <w:i/>
          <w:sz w:val="24"/>
          <w:szCs w:val="20"/>
        </w:rPr>
        <w:t>buoyancy</w:t>
      </w:r>
      <w:r w:rsidRPr="002D71F1">
        <w:rPr>
          <w:rFonts w:ascii="Times" w:eastAsia="Times New Roman" w:hAnsi="Times"/>
          <w:sz w:val="24"/>
          <w:szCs w:val="20"/>
        </w:rPr>
        <w:t>, or lifting ability, of the blimp. [See Section 2.8 for the principles of buoyancy.]</w:t>
      </w:r>
    </w:p>
    <w:p w:rsidR="009D55F3" w:rsidRPr="009D55F3" w:rsidRDefault="009D55F3" w:rsidP="002D71F1">
      <w:pPr>
        <w:spacing w:after="0" w:line="240" w:lineRule="auto"/>
        <w:rPr>
          <w:rFonts w:ascii="Times" w:eastAsia="Times New Roman" w:hAnsi="Times"/>
          <w:sz w:val="24"/>
          <w:szCs w:val="20"/>
        </w:rPr>
      </w:pPr>
    </w:p>
    <w:sectPr w:rsidR="009D55F3" w:rsidRPr="009D55F3" w:rsidSect="00DB384D">
      <w:footerReference w:type="default" r:id="rId1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A2C14-8166-4E56-AC35-D3A1264B8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411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2015-05-13T15:46:00Z</dcterms:created>
  <dcterms:modified xsi:type="dcterms:W3CDTF">2015-05-13T15:46:00Z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