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221707">
        <w:rPr>
          <w:rFonts w:ascii="Times New Roman" w:hAnsi="Times New Roman"/>
          <w:b/>
          <w:szCs w:val="24"/>
        </w:rPr>
        <w:t>C12</w:t>
      </w:r>
    </w:p>
    <w:p w:rsidR="002A7015" w:rsidRDefault="002A7015" w:rsidP="002A7015">
      <w:pPr>
        <w:keepNext/>
        <w:spacing w:after="0" w:line="280" w:lineRule="exact"/>
        <w:jc w:val="both"/>
        <w:rPr>
          <w:rFonts w:ascii="Times" w:eastAsia="Times New Roman" w:hAnsi="Times"/>
          <w:b/>
          <w:spacing w:val="-2"/>
          <w:sz w:val="24"/>
          <w:szCs w:val="20"/>
        </w:rPr>
      </w:pPr>
    </w:p>
    <w:p w:rsidR="00221707" w:rsidRPr="00221707" w:rsidRDefault="00221707" w:rsidP="00221707">
      <w:pPr>
        <w:spacing w:after="0" w:line="280" w:lineRule="atLeast"/>
        <w:ind w:right="-90"/>
        <w:rPr>
          <w:rFonts w:ascii="Times New Roman" w:eastAsia="Times New Roman" w:hAnsi="Times New Roman"/>
          <w:sz w:val="24"/>
          <w:szCs w:val="24"/>
        </w:rPr>
      </w:pPr>
      <w:r w:rsidRPr="00221707">
        <w:rPr>
          <w:rFonts w:ascii="Times New Roman" w:eastAsia="Times New Roman" w:hAnsi="Times New Roman"/>
          <w:sz w:val="24"/>
          <w:szCs w:val="24"/>
        </w:rPr>
        <w:t>This problem reviews complicated units, volume and weight, shear stress, and viscosity.  It fits the sketch in Fig. P1.45.  The writer converts to SI units.</w:t>
      </w:r>
    </w:p>
    <w:p w:rsidR="00221707" w:rsidRPr="00221707" w:rsidRDefault="00221707" w:rsidP="00221707">
      <w:pPr>
        <w:spacing w:after="0" w:line="280" w:lineRule="atLeast"/>
        <w:ind w:right="-90"/>
        <w:rPr>
          <w:rFonts w:ascii="Times New Roman" w:eastAsia="Times New Roman" w:hAnsi="Times New Roman"/>
          <w:sz w:val="24"/>
          <w:szCs w:val="24"/>
        </w:rPr>
      </w:pPr>
      <w:r>
        <w:rPr>
          <w:rFonts w:ascii="Times New Roman" w:eastAsia="Times New Roman" w:hAnsi="Times New Roman"/>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999" type="#_x0000_t75" style="position:absolute;margin-left:4.05pt;margin-top:19.2pt;width:467pt;height:21pt;z-index:251662336;mso-position-horizontal:absolute;mso-position-horizontal-relative:text;mso-position-vertical:absolute;mso-position-vertical-relative:text">
            <v:imagedata r:id="rId9" o:title=""/>
          </v:shape>
          <o:OLEObject Type="Embed" ProgID="Equation.DSMT4" ShapeID="_x0000_s95999" DrawAspect="Content" ObjectID="_1493026667" r:id="rId10"/>
        </w:pict>
      </w:r>
    </w:p>
    <w:p w:rsidR="00221707" w:rsidRPr="00221707" w:rsidRDefault="00221707" w:rsidP="00221707">
      <w:pPr>
        <w:spacing w:after="0" w:line="280" w:lineRule="atLeast"/>
        <w:ind w:right="-86"/>
        <w:rPr>
          <w:rFonts w:ascii="Times New Roman" w:eastAsia="Times New Roman" w:hAnsi="Times New Roman"/>
          <w:sz w:val="24"/>
          <w:szCs w:val="24"/>
        </w:rPr>
      </w:pPr>
    </w:p>
    <w:p w:rsidR="00221707" w:rsidRDefault="00221707" w:rsidP="00221707">
      <w:pPr>
        <w:spacing w:after="0" w:line="280" w:lineRule="atLeast"/>
        <w:ind w:right="-86"/>
        <w:rPr>
          <w:rFonts w:ascii="Times New Roman" w:eastAsia="Times New Roman" w:hAnsi="Times New Roman"/>
          <w:sz w:val="24"/>
          <w:szCs w:val="24"/>
        </w:rPr>
      </w:pPr>
    </w:p>
    <w:p w:rsidR="00221707" w:rsidRDefault="00221707" w:rsidP="00221707">
      <w:pPr>
        <w:spacing w:after="0" w:line="280" w:lineRule="atLeast"/>
        <w:ind w:right="-86"/>
        <w:rPr>
          <w:rFonts w:ascii="Times New Roman" w:eastAsia="Times New Roman" w:hAnsi="Times New Roman"/>
          <w:sz w:val="24"/>
          <w:szCs w:val="24"/>
        </w:rPr>
      </w:pPr>
    </w:p>
    <w:p w:rsidR="00221707" w:rsidRDefault="00221707" w:rsidP="00221707">
      <w:pPr>
        <w:spacing w:after="0" w:line="280" w:lineRule="atLeast"/>
        <w:ind w:right="-86"/>
        <w:rPr>
          <w:rFonts w:ascii="Times New Roman" w:eastAsia="Times New Roman" w:hAnsi="Times New Roman"/>
          <w:sz w:val="24"/>
          <w:szCs w:val="24"/>
        </w:rPr>
      </w:pPr>
    </w:p>
    <w:p w:rsidR="00221707" w:rsidRPr="00221707" w:rsidRDefault="00221707" w:rsidP="00221707">
      <w:pPr>
        <w:spacing w:after="0" w:line="280" w:lineRule="atLeast"/>
        <w:ind w:right="-86"/>
        <w:rPr>
          <w:rFonts w:ascii="Times New Roman" w:eastAsia="Times New Roman" w:hAnsi="Times New Roman"/>
          <w:sz w:val="24"/>
          <w:szCs w:val="24"/>
        </w:rPr>
      </w:pPr>
      <w:r w:rsidRPr="00221707">
        <w:rPr>
          <w:rFonts w:ascii="Times New Roman" w:eastAsia="Times New Roman" w:hAnsi="Times New Roman"/>
          <w:sz w:val="24"/>
          <w:szCs w:val="24"/>
        </w:rPr>
        <w:t>The weight component along the incline balances the shear stress, in the castor oil, times the bottom flat area of the disk.</w:t>
      </w:r>
    </w:p>
    <w:p w:rsidR="00221707" w:rsidRPr="00221707" w:rsidRDefault="00221707" w:rsidP="00221707">
      <w:pPr>
        <w:spacing w:after="0" w:line="280" w:lineRule="atLeast"/>
        <w:ind w:right="-86"/>
        <w:rPr>
          <w:rFonts w:ascii="Times New Roman" w:eastAsia="Times New Roman" w:hAnsi="Times New Roman"/>
          <w:sz w:val="24"/>
          <w:szCs w:val="24"/>
        </w:rPr>
      </w:pPr>
      <w:r w:rsidRPr="00221707">
        <w:rPr>
          <w:rFonts w:ascii="Times New Roman" w:eastAsia="Times New Roman" w:hAnsi="Times New Roman"/>
          <w:noProof/>
          <w:sz w:val="20"/>
          <w:szCs w:val="24"/>
        </w:rPr>
        <w:pict>
          <v:shape id="_x0000_s95998" type="#_x0000_t75" style="position:absolute;margin-left:13.05pt;margin-top:10pt;width:440pt;height:52pt;z-index:251661312">
            <v:imagedata r:id="rId11" o:title=""/>
            <w10:wrap type="topAndBottom"/>
          </v:shape>
          <o:OLEObject Type="Embed" ProgID="Equation.DSMT4" ShapeID="_x0000_s95998" DrawAspect="Content" ObjectID="_1493026668" r:id="rId12"/>
        </w:pict>
      </w:r>
    </w:p>
    <w:p w:rsidR="00221707" w:rsidRPr="00221707" w:rsidRDefault="00221707" w:rsidP="00221707">
      <w:pPr>
        <w:spacing w:after="0" w:line="320" w:lineRule="exact"/>
        <w:rPr>
          <w:rFonts w:ascii="Times New Roman" w:eastAsia="Times New Roman" w:hAnsi="Times New Roman"/>
          <w:sz w:val="24"/>
          <w:szCs w:val="24"/>
        </w:rPr>
      </w:pPr>
      <w:r w:rsidRPr="00221707">
        <w:rPr>
          <w:rFonts w:ascii="Times New Roman" w:eastAsia="Times New Roman" w:hAnsi="Times New Roman"/>
          <w:sz w:val="24"/>
          <w:szCs w:val="24"/>
        </w:rPr>
        <w:t xml:space="preserve">Looking on Fig. A.1 for castor oil, this viscosity corresponds approximately to </w:t>
      </w:r>
      <w:r w:rsidRPr="00221707">
        <w:rPr>
          <w:rFonts w:ascii="Times New Roman" w:eastAsia="Times New Roman" w:hAnsi="Times New Roman"/>
          <w:b/>
          <w:bCs/>
          <w:sz w:val="24"/>
          <w:szCs w:val="24"/>
        </w:rPr>
        <w:t>30</w:t>
      </w:r>
      <w:r w:rsidRPr="00221707">
        <w:rPr>
          <w:rFonts w:ascii="Times New Roman" w:eastAsia="Times New Roman" w:hAnsi="Times New Roman"/>
          <w:b/>
          <w:bCs/>
          <w:sz w:val="24"/>
          <w:szCs w:val="24"/>
        </w:rPr>
        <w:sym w:font="Symbol" w:char="F0B0"/>
      </w:r>
      <w:r w:rsidRPr="00221707">
        <w:rPr>
          <w:rFonts w:ascii="Times New Roman" w:eastAsia="Times New Roman" w:hAnsi="Times New Roman"/>
          <w:b/>
          <w:bCs/>
          <w:sz w:val="24"/>
          <w:szCs w:val="24"/>
        </w:rPr>
        <w:t>C</w:t>
      </w:r>
      <w:r w:rsidRPr="00221707">
        <w:rPr>
          <w:rFonts w:ascii="Times New Roman" w:eastAsia="Times New Roman" w:hAnsi="Times New Roman"/>
          <w:sz w:val="24"/>
          <w:szCs w:val="24"/>
        </w:rPr>
        <w:t xml:space="preserve">   </w:t>
      </w:r>
      <w:r w:rsidRPr="00221707">
        <w:rPr>
          <w:rFonts w:ascii="Times New Roman" w:eastAsia="Times New Roman" w:hAnsi="Times New Roman"/>
          <w:i/>
          <w:iCs/>
          <w:sz w:val="24"/>
          <w:szCs w:val="24"/>
        </w:rPr>
        <w:t>Ans</w:t>
      </w:r>
      <w:r w:rsidRPr="00221707">
        <w:rPr>
          <w:rFonts w:ascii="Times New Roman" w:eastAsia="Times New Roman" w:hAnsi="Times New Roman"/>
          <w:sz w:val="24"/>
          <w:szCs w:val="24"/>
        </w:rPr>
        <w:t>.</w:t>
      </w:r>
    </w:p>
    <w:p w:rsidR="00221707" w:rsidRPr="00221707" w:rsidRDefault="00221707" w:rsidP="00221707">
      <w:pPr>
        <w:spacing w:after="0" w:line="320" w:lineRule="exact"/>
        <w:rPr>
          <w:rFonts w:ascii="Times New Roman" w:eastAsia="Times New Roman" w:hAnsi="Times New Roman"/>
          <w:sz w:val="24"/>
          <w:szCs w:val="24"/>
        </w:rPr>
      </w:pPr>
      <w:r w:rsidRPr="00221707">
        <w:rPr>
          <w:rFonts w:ascii="Times New Roman" w:eastAsia="Times New Roman" w:hAnsi="Times New Roman"/>
          <w:sz w:val="24"/>
          <w:szCs w:val="24"/>
        </w:rPr>
        <w:t xml:space="preserve">The specific gravity of the castor oil was a red herring and is not needed.  Note also that, since </w:t>
      </w:r>
      <w:r w:rsidRPr="00221707">
        <w:rPr>
          <w:rFonts w:ascii="Times New Roman" w:eastAsia="Times New Roman" w:hAnsi="Times New Roman"/>
          <w:i/>
          <w:iCs/>
          <w:sz w:val="24"/>
          <w:szCs w:val="24"/>
        </w:rPr>
        <w:t>W</w:t>
      </w:r>
      <w:r w:rsidRPr="00221707">
        <w:rPr>
          <w:rFonts w:ascii="Times New Roman" w:eastAsia="Times New Roman" w:hAnsi="Times New Roman"/>
          <w:sz w:val="24"/>
          <w:szCs w:val="24"/>
        </w:rPr>
        <w:t xml:space="preserve"> is proportional to disk bottom area </w:t>
      </w:r>
      <w:r w:rsidRPr="00221707">
        <w:rPr>
          <w:rFonts w:ascii="Times New Roman" w:eastAsia="Times New Roman" w:hAnsi="Times New Roman"/>
          <w:i/>
          <w:iCs/>
          <w:sz w:val="24"/>
          <w:szCs w:val="24"/>
        </w:rPr>
        <w:t>A</w:t>
      </w:r>
      <w:r w:rsidRPr="00221707">
        <w:rPr>
          <w:rFonts w:ascii="Times New Roman" w:eastAsia="Times New Roman" w:hAnsi="Times New Roman"/>
          <w:sz w:val="24"/>
          <w:szCs w:val="24"/>
        </w:rPr>
        <w:t>, that area cancels out and is not needed.</w:t>
      </w:r>
    </w:p>
    <w:p w:rsidR="00F95D2D" w:rsidRPr="00F95D2D" w:rsidRDefault="00F95D2D" w:rsidP="00221707">
      <w:pPr>
        <w:spacing w:after="0" w:line="320" w:lineRule="exact"/>
        <w:rPr>
          <w:rFonts w:ascii="Times" w:eastAsia="Times New Roman" w:hAnsi="Times"/>
          <w:iCs/>
          <w:sz w:val="24"/>
          <w:szCs w:val="20"/>
        </w:rPr>
      </w:pPr>
    </w:p>
    <w:sectPr w:rsidR="00F95D2D" w:rsidRPr="00F95D2D" w:rsidSect="006C5FBD">
      <w:footerReference w:type="default" r:id="rId13"/>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707"/>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2D69"/>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406"/>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6ABD"/>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1F7D"/>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A78"/>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2D"/>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ules v:ext="edit">
        <o:r id="V:Rule1" type="connector" idref="#_x0000_s95920"/>
        <o:r id="V:Rule2" type="connector" idref="#_x0000_s95921"/>
        <o:r id="V:Rule3" type="connector" idref="#_x0000_s95918"/>
        <o:r id="V:Rule4" type="connector" idref="#_x0000_s95926"/>
        <o:r id="V:Rule5" type="connector" idref="#_x0000_s95919"/>
        <o:r id="V:Rule6" type="connector" idref="#_x0000_s95929"/>
        <o:r id="V:Rule7" type="connector" idref="#_x0000_s95930"/>
        <o:r id="V:Rule8" type="connector" idref="#_x0000_s95927"/>
        <o:r id="V:Rule9" type="connector" idref="#_x0000_s95935"/>
        <o:r id="V:Rule10" type="connector" idref="#_x0000_s95928"/>
        <o:r id="V:Rule11" type="connector" idref="#_x0000_s95939"/>
        <o:r id="V:Rule12" type="connector" idref="#_x0000_s95941"/>
        <o:r id="V:Rule13" type="connector" idref="#_x0000_s95936"/>
        <o:r id="V:Rule14" type="connector" idref="#_x0000_s95940"/>
        <o:r id="V:Rule15" type="connector" idref="#_x0000_s95946"/>
        <o:r id="V:Rule16" type="connector" idref="#_x0000_s95937"/>
        <o:r id="V:Rule17" type="connector" idref="#_x0000_s95950"/>
        <o:r id="V:Rule18" type="connector" idref="#_x0000_s95952"/>
        <o:r id="V:Rule19" type="connector" idref="#_x0000_s95947"/>
        <o:r id="V:Rule20" type="connector" idref="#_x0000_s95951"/>
        <o:r id="V:Rule21" type="connector" idref="#_x0000_s95957"/>
        <o:r id="V:Rule22" type="connector" idref="#_x0000_s95948"/>
        <o:r id="V:Rule23" type="connector" idref="#_x0000_s95962"/>
        <o:r id="V:Rule24" type="connector" idref="#_x0000_s95964"/>
        <o:r id="V:Rule25" type="connector" idref="#_x0000_s95959"/>
        <o:r id="V:Rule26" type="connector" idref="#_x0000_s95963"/>
        <o:r id="V:Rule27" type="connector" idref="#_x0000_s95969"/>
        <o:r id="V:Rule28" type="connector" idref="#_x0000_s95960"/>
        <o:r id="V:Rule29" type="connector" idref="#_x0000_s95974"/>
        <o:r id="V:Rule30" type="connector" idref="#_x0000_s95976"/>
        <o:r id="V:Rule31" type="connector" idref="#_x0000_s95971"/>
        <o:r id="V:Rule32" type="connector" idref="#_x0000_s95975"/>
        <o:r id="V:Rule33" type="connector" idref="#_x0000_s95981"/>
        <o:r id="V:Rule34" type="connector" idref="#_x0000_s95972"/>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158A1-FC1C-4B92-9447-B73C55899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2015-05-13T17:48:00Z</dcterms:created>
  <dcterms:modified xsi:type="dcterms:W3CDTF">2015-05-13T17:48:00Z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